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016AE" w14:textId="77777777" w:rsidR="00237F52" w:rsidRPr="004F3498" w:rsidRDefault="00FD08A6" w:rsidP="00FD08A6">
      <w:pPr>
        <w:jc w:val="center"/>
        <w:rPr>
          <w:rFonts w:eastAsia="標楷體"/>
          <w:sz w:val="36"/>
          <w:szCs w:val="36"/>
        </w:rPr>
      </w:pPr>
      <w:r w:rsidRPr="004F3498">
        <w:rPr>
          <w:rFonts w:eastAsia="標楷體" w:hAnsi="標楷體"/>
          <w:sz w:val="36"/>
          <w:szCs w:val="36"/>
        </w:rPr>
        <w:t>連江縣傳統</w:t>
      </w:r>
      <w:r w:rsidR="00881E9B" w:rsidRPr="004F3498">
        <w:rPr>
          <w:rFonts w:eastAsia="標楷體" w:hAnsi="標楷體"/>
          <w:sz w:val="36"/>
          <w:szCs w:val="36"/>
        </w:rPr>
        <w:t>建築</w:t>
      </w:r>
      <w:r w:rsidRPr="004F3498">
        <w:rPr>
          <w:rFonts w:eastAsia="標楷體" w:hAnsi="標楷體"/>
          <w:sz w:val="36"/>
          <w:szCs w:val="36"/>
        </w:rPr>
        <w:t>風貌補助</w:t>
      </w:r>
      <w:r w:rsidR="00237F52" w:rsidRPr="004F3498">
        <w:rPr>
          <w:rFonts w:eastAsia="標楷體" w:hAnsi="標楷體"/>
          <w:sz w:val="36"/>
          <w:szCs w:val="36"/>
        </w:rPr>
        <w:t>申請須知</w:t>
      </w:r>
    </w:p>
    <w:p w14:paraId="4F82F3F7" w14:textId="77777777" w:rsidR="009615D7" w:rsidRPr="004F3498" w:rsidRDefault="00F2382A" w:rsidP="00E82F55">
      <w:pPr>
        <w:numPr>
          <w:ilvl w:val="0"/>
          <w:numId w:val="2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連江縣傳統建築風貌應符合以下規範：</w:t>
      </w:r>
    </w:p>
    <w:p w14:paraId="6DD63401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b/>
          <w:sz w:val="28"/>
          <w:szCs w:val="28"/>
        </w:rPr>
      </w:pPr>
      <w:r w:rsidRPr="004F3498">
        <w:rPr>
          <w:rFonts w:eastAsia="標楷體"/>
          <w:b/>
          <w:sz w:val="28"/>
          <w:szCs w:val="28"/>
        </w:rPr>
        <w:t>1.</w:t>
      </w:r>
      <w:r w:rsidRPr="004F3498">
        <w:rPr>
          <w:rFonts w:eastAsia="標楷體" w:hAnsi="標楷體"/>
          <w:b/>
          <w:sz w:val="28"/>
          <w:szCs w:val="28"/>
        </w:rPr>
        <w:t>屋頂：</w:t>
      </w:r>
    </w:p>
    <w:p w14:paraId="4D95EC12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1-1</w:t>
      </w:r>
      <w:r w:rsidRPr="004F3498">
        <w:rPr>
          <w:rFonts w:eastAsia="標楷體" w:hAnsi="標楷體"/>
          <w:sz w:val="28"/>
          <w:szCs w:val="28"/>
        </w:rPr>
        <w:t>、五脊四坡頂，</w:t>
      </w:r>
      <w:r w:rsidR="002B0957" w:rsidRPr="004F3498">
        <w:rPr>
          <w:rFonts w:eastAsia="標楷體" w:hAnsi="標楷體"/>
          <w:sz w:val="28"/>
          <w:szCs w:val="28"/>
        </w:rPr>
        <w:t>以紅色或褐色等瓦片構築，壓瓦石則以藍灰色及淡、暗紅色為主，惟色彩的選定應以當地整體景觀一致為主。</w:t>
      </w:r>
      <w:r w:rsidR="002B0957" w:rsidRPr="004F3498">
        <w:rPr>
          <w:rFonts w:eastAsia="標楷體"/>
          <w:sz w:val="28"/>
          <w:szCs w:val="28"/>
        </w:rPr>
        <w:t xml:space="preserve"> </w:t>
      </w:r>
    </w:p>
    <w:p w14:paraId="0B8E42FD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1-2</w:t>
      </w:r>
      <w:r w:rsidRPr="004F3498">
        <w:rPr>
          <w:rFonts w:eastAsia="標楷體" w:hAnsi="標楷體"/>
          <w:sz w:val="28"/>
          <w:szCs w:val="28"/>
        </w:rPr>
        <w:t>、兩坡頂，</w:t>
      </w:r>
      <w:r w:rsidR="002B0957" w:rsidRPr="004F3498">
        <w:rPr>
          <w:rFonts w:eastAsia="標楷體" w:hAnsi="標楷體"/>
          <w:sz w:val="28"/>
          <w:szCs w:val="28"/>
        </w:rPr>
        <w:t>以紅色或褐色等瓦片構築，壓瓦石則以藍灰色及淡、暗紅色為主，惟色彩的選定應以當地整體景觀一致為主。</w:t>
      </w:r>
    </w:p>
    <w:p w14:paraId="6BAC8C38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1-3</w:t>
      </w:r>
      <w:r w:rsidRPr="004F3498">
        <w:rPr>
          <w:rFonts w:eastAsia="標楷體" w:hAnsi="標楷體"/>
          <w:sz w:val="28"/>
          <w:szCs w:val="28"/>
        </w:rPr>
        <w:t>、四脊四坡頂，</w:t>
      </w:r>
      <w:r w:rsidR="002B0957" w:rsidRPr="004F3498">
        <w:rPr>
          <w:rFonts w:eastAsia="標楷體" w:hAnsi="標楷體"/>
          <w:sz w:val="28"/>
          <w:szCs w:val="28"/>
        </w:rPr>
        <w:t>以紅色或褐色等瓦片構築，壓瓦石則以藍灰色及淡、暗紅色為主，惟色彩的選定應以當地整體景觀一致為主。</w:t>
      </w:r>
      <w:r w:rsidR="002B0957" w:rsidRPr="004F3498">
        <w:rPr>
          <w:rFonts w:eastAsia="標楷體"/>
          <w:sz w:val="28"/>
          <w:szCs w:val="28"/>
        </w:rPr>
        <w:t xml:space="preserve"> </w:t>
      </w:r>
    </w:p>
    <w:p w14:paraId="558C35E8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2.</w:t>
      </w:r>
      <w:r w:rsidRPr="004F3498">
        <w:rPr>
          <w:rFonts w:eastAsia="標楷體" w:hAnsi="標楷體"/>
          <w:sz w:val="28"/>
          <w:szCs w:val="28"/>
        </w:rPr>
        <w:t>外牆：</w:t>
      </w:r>
    </w:p>
    <w:p w14:paraId="7EFCDEF8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1-1</w:t>
      </w:r>
      <w:r w:rsidRPr="004F3498">
        <w:rPr>
          <w:rFonts w:eastAsia="標楷體" w:hAnsi="標楷體"/>
          <w:sz w:val="28"/>
          <w:szCs w:val="28"/>
        </w:rPr>
        <w:t>、</w:t>
      </w:r>
      <w:r w:rsidR="002B0957" w:rsidRPr="004F3498">
        <w:rPr>
          <w:rFonts w:eastAsia="標楷體" w:hAnsi="標楷體"/>
          <w:sz w:val="28"/>
          <w:szCs w:val="28"/>
        </w:rPr>
        <w:t>花崗岩牆，分作</w:t>
      </w:r>
      <w:r w:rsidRPr="004F3498">
        <w:rPr>
          <w:rFonts w:eastAsia="標楷體" w:hAnsi="標楷體"/>
          <w:sz w:val="28"/>
          <w:szCs w:val="28"/>
        </w:rPr>
        <w:t>亂石砌</w:t>
      </w:r>
      <w:r w:rsidR="002B0957" w:rsidRPr="004F3498">
        <w:rPr>
          <w:rFonts w:eastAsia="標楷體" w:hAnsi="標楷體"/>
          <w:sz w:val="28"/>
          <w:szCs w:val="28"/>
        </w:rPr>
        <w:t>、人字砌、平砌、勾丁砌及斜角砌。</w:t>
      </w:r>
    </w:p>
    <w:p w14:paraId="4602BA31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1-2</w:t>
      </w:r>
      <w:r w:rsidRPr="004F3498">
        <w:rPr>
          <w:rFonts w:eastAsia="標楷體" w:hAnsi="標楷體"/>
          <w:sz w:val="28"/>
          <w:szCs w:val="28"/>
        </w:rPr>
        <w:t>、</w:t>
      </w:r>
      <w:r w:rsidR="002B0957" w:rsidRPr="004F3498">
        <w:rPr>
          <w:rFonts w:eastAsia="標楷體" w:hAnsi="標楷體"/>
          <w:sz w:val="28"/>
          <w:szCs w:val="28"/>
        </w:rPr>
        <w:t>福杉板牆。</w:t>
      </w:r>
    </w:p>
    <w:p w14:paraId="71ADCB6E" w14:textId="77777777" w:rsidR="00FD2D9F" w:rsidRPr="004F3498" w:rsidRDefault="00FD2D9F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1-3</w:t>
      </w:r>
      <w:r w:rsidRPr="004F3498">
        <w:rPr>
          <w:rFonts w:eastAsia="標楷體" w:hAnsi="標楷體"/>
          <w:sz w:val="28"/>
          <w:szCs w:val="28"/>
        </w:rPr>
        <w:t>、</w:t>
      </w:r>
      <w:r w:rsidR="002B0957" w:rsidRPr="004F3498">
        <w:rPr>
          <w:rFonts w:eastAsia="標楷體" w:hAnsi="標楷體"/>
          <w:sz w:val="28"/>
          <w:szCs w:val="28"/>
        </w:rPr>
        <w:t>土角磚。</w:t>
      </w:r>
    </w:p>
    <w:p w14:paraId="33622ECD" w14:textId="77777777" w:rsidR="002B0957" w:rsidRPr="004F3498" w:rsidRDefault="002B0957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28"/>
          <w:szCs w:val="28"/>
        </w:rPr>
      </w:pPr>
      <w:r w:rsidRPr="004F3498">
        <w:rPr>
          <w:rFonts w:eastAsia="標楷體"/>
          <w:sz w:val="28"/>
          <w:szCs w:val="28"/>
        </w:rPr>
        <w:t>3.</w:t>
      </w:r>
      <w:r w:rsidRPr="004F3498">
        <w:rPr>
          <w:rFonts w:eastAsia="標楷體" w:hAnsi="標楷體"/>
          <w:sz w:val="28"/>
          <w:szCs w:val="28"/>
        </w:rPr>
        <w:t>木門窗</w:t>
      </w:r>
      <w:r w:rsidR="00F2382A" w:rsidRPr="004F3498">
        <w:rPr>
          <w:rFonts w:eastAsia="標楷體" w:hAnsi="標楷體"/>
          <w:sz w:val="28"/>
          <w:szCs w:val="28"/>
        </w:rPr>
        <w:t>或仿木門窗。</w:t>
      </w:r>
    </w:p>
    <w:p w14:paraId="58AA416B" w14:textId="77777777" w:rsidR="00F2382A" w:rsidRPr="004F3498" w:rsidRDefault="00F2382A" w:rsidP="00E82F55">
      <w:pPr>
        <w:spacing w:beforeLines="100" w:before="360" w:afterLines="50" w:after="180" w:line="0" w:lineRule="atLeast"/>
        <w:ind w:left="495"/>
        <w:jc w:val="both"/>
        <w:rPr>
          <w:rFonts w:eastAsia="標楷體"/>
          <w:sz w:val="32"/>
          <w:szCs w:val="32"/>
        </w:rPr>
      </w:pPr>
      <w:r w:rsidRPr="004F3498">
        <w:rPr>
          <w:rFonts w:eastAsia="標楷體"/>
          <w:sz w:val="28"/>
          <w:szCs w:val="28"/>
        </w:rPr>
        <w:t>4.</w:t>
      </w:r>
      <w:r w:rsidRPr="004F3498">
        <w:rPr>
          <w:rFonts w:eastAsia="標楷體" w:hAnsi="標楷體"/>
          <w:sz w:val="28"/>
          <w:szCs w:val="28"/>
        </w:rPr>
        <w:t>大木結構。</w:t>
      </w:r>
    </w:p>
    <w:p w14:paraId="169C82A3" w14:textId="77777777" w:rsidR="00A705ED" w:rsidRPr="004F3498" w:rsidRDefault="00A705ED" w:rsidP="00E82F55">
      <w:pPr>
        <w:numPr>
          <w:ilvl w:val="0"/>
          <w:numId w:val="2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本補助申請含傳統式修繕及改良式修繕二者：</w:t>
      </w:r>
    </w:p>
    <w:p w14:paraId="0D4C55C0" w14:textId="77777777" w:rsidR="00A705ED" w:rsidRPr="004F3498" w:rsidRDefault="00A705ED" w:rsidP="00E82F55">
      <w:pPr>
        <w:spacing w:beforeLines="100" w:before="360" w:afterLines="50" w:after="180" w:line="0" w:lineRule="atLeast"/>
        <w:ind w:leftChars="134" w:left="2562" w:hangingChars="700" w:hanging="2240"/>
        <w:jc w:val="both"/>
        <w:rPr>
          <w:rFonts w:eastAsia="標楷體"/>
          <w:sz w:val="32"/>
          <w:szCs w:val="32"/>
        </w:rPr>
      </w:pPr>
      <w:r w:rsidRPr="004F3498">
        <w:rPr>
          <w:rFonts w:eastAsia="標楷體"/>
          <w:sz w:val="32"/>
          <w:szCs w:val="32"/>
        </w:rPr>
        <w:t>1.</w:t>
      </w:r>
      <w:r w:rsidRPr="004F3498">
        <w:rPr>
          <w:rFonts w:eastAsia="標楷體" w:hAnsi="標楷體"/>
          <w:sz w:val="32"/>
          <w:szCs w:val="32"/>
        </w:rPr>
        <w:t>傳統式修繕：外觀需完全依據傳統建築型式施作，並全面符合傳統建築樣式之修繕，惟申請補助石砌外牆者，須符合下列規定：採石砌外牆者，其外牆厚度不得小於</w:t>
      </w:r>
      <w:r w:rsidRPr="004F3498">
        <w:rPr>
          <w:rFonts w:eastAsia="標楷體"/>
          <w:sz w:val="32"/>
          <w:szCs w:val="32"/>
        </w:rPr>
        <w:t>25</w:t>
      </w:r>
      <w:r w:rsidRPr="004F3498">
        <w:rPr>
          <w:rFonts w:eastAsia="標楷體" w:hAnsi="標楷體"/>
          <w:sz w:val="32"/>
          <w:szCs w:val="32"/>
        </w:rPr>
        <w:t>公分。</w:t>
      </w:r>
    </w:p>
    <w:p w14:paraId="44825282" w14:textId="77777777" w:rsidR="00A705ED" w:rsidRPr="004F3498" w:rsidRDefault="00A705ED" w:rsidP="00E82F55">
      <w:pPr>
        <w:spacing w:beforeLines="100" w:before="360" w:afterLines="50" w:after="180" w:line="0" w:lineRule="atLeast"/>
        <w:ind w:leftChars="134" w:left="2562" w:hangingChars="700" w:hanging="2240"/>
        <w:jc w:val="both"/>
        <w:rPr>
          <w:rFonts w:eastAsia="標楷體"/>
          <w:sz w:val="32"/>
          <w:szCs w:val="32"/>
        </w:rPr>
      </w:pPr>
      <w:r w:rsidRPr="004F3498">
        <w:rPr>
          <w:rFonts w:eastAsia="標楷體"/>
          <w:sz w:val="32"/>
          <w:szCs w:val="32"/>
        </w:rPr>
        <w:t>2.</w:t>
      </w:r>
      <w:r w:rsidRPr="004F3498">
        <w:rPr>
          <w:rFonts w:eastAsia="標楷體" w:hAnsi="標楷體"/>
          <w:sz w:val="32"/>
          <w:szCs w:val="32"/>
        </w:rPr>
        <w:t>改</w:t>
      </w:r>
      <w:r w:rsidR="00881E9B" w:rsidRPr="004F3498">
        <w:rPr>
          <w:rFonts w:eastAsia="標楷體" w:hAnsi="標楷體"/>
          <w:sz w:val="32"/>
          <w:szCs w:val="32"/>
        </w:rPr>
        <w:t>良式修繕：外觀需完全仿照傳統式建築樣式設計，惟外觀需色調協調，門窗色澤需採用木質顏</w:t>
      </w:r>
      <w:r w:rsidR="00881E9B" w:rsidRPr="004F3498">
        <w:rPr>
          <w:rFonts w:eastAsia="標楷體" w:hAnsi="標楷體"/>
          <w:sz w:val="32"/>
          <w:szCs w:val="32"/>
        </w:rPr>
        <w:lastRenderedPageBreak/>
        <w:t>色，否則不予補助</w:t>
      </w:r>
      <w:r w:rsidRPr="004F3498">
        <w:rPr>
          <w:rFonts w:eastAsia="標楷體" w:hAnsi="標楷體"/>
          <w:sz w:val="32"/>
          <w:szCs w:val="32"/>
        </w:rPr>
        <w:t>：</w:t>
      </w:r>
    </w:p>
    <w:p w14:paraId="56A42210" w14:textId="77777777" w:rsidR="00A705ED" w:rsidRPr="004F3498" w:rsidRDefault="00A705ED" w:rsidP="00E82F55">
      <w:pPr>
        <w:pStyle w:val="InsideAddress"/>
        <w:spacing w:beforeLines="50" w:before="180" w:afterLines="50" w:after="180" w:line="400" w:lineRule="exact"/>
        <w:ind w:leftChars="267" w:left="1441" w:right="0" w:hangingChars="250" w:hanging="800"/>
        <w:jc w:val="both"/>
        <w:rPr>
          <w:rFonts w:eastAsia="標楷體"/>
          <w:noProof w:val="0"/>
          <w:kern w:val="2"/>
          <w:sz w:val="32"/>
          <w:szCs w:val="32"/>
        </w:rPr>
      </w:pPr>
      <w:r w:rsidRPr="004F3498">
        <w:rPr>
          <w:rFonts w:eastAsia="標楷體" w:hAnsi="標楷體"/>
          <w:noProof w:val="0"/>
          <w:kern w:val="2"/>
          <w:sz w:val="32"/>
          <w:szCs w:val="32"/>
        </w:rPr>
        <w:t>（</w:t>
      </w:r>
      <w:r w:rsidRPr="004F3498">
        <w:rPr>
          <w:rFonts w:eastAsia="標楷體"/>
          <w:noProof w:val="0"/>
          <w:kern w:val="2"/>
          <w:sz w:val="32"/>
          <w:szCs w:val="32"/>
        </w:rPr>
        <w:t>1</w:t>
      </w:r>
      <w:r w:rsidRPr="004F3498">
        <w:rPr>
          <w:rFonts w:eastAsia="標楷體" w:hAnsi="標楷體"/>
          <w:noProof w:val="0"/>
          <w:kern w:val="2"/>
          <w:sz w:val="32"/>
          <w:szCs w:val="32"/>
        </w:rPr>
        <w:t>）外觀依據馬祖地區傳統建築型式施作，局部納入現代設計之修繕。</w:t>
      </w:r>
    </w:p>
    <w:p w14:paraId="71BB9BAC" w14:textId="77777777" w:rsidR="00A66502" w:rsidRPr="004F3498" w:rsidRDefault="00A705ED" w:rsidP="00E82F55">
      <w:pPr>
        <w:pStyle w:val="InsideAddress"/>
        <w:spacing w:beforeLines="50" w:before="180" w:afterLines="50" w:after="180" w:line="400" w:lineRule="exact"/>
        <w:ind w:leftChars="267" w:left="1441" w:right="0" w:hangingChars="250" w:hanging="800"/>
        <w:jc w:val="both"/>
        <w:rPr>
          <w:rFonts w:eastAsia="標楷體"/>
          <w:noProof w:val="0"/>
          <w:kern w:val="2"/>
          <w:sz w:val="32"/>
          <w:szCs w:val="32"/>
        </w:rPr>
      </w:pPr>
      <w:r w:rsidRPr="004F3498">
        <w:rPr>
          <w:rFonts w:eastAsia="標楷體" w:hAnsi="標楷體"/>
          <w:noProof w:val="0"/>
          <w:kern w:val="2"/>
          <w:sz w:val="32"/>
          <w:szCs w:val="32"/>
        </w:rPr>
        <w:t>（</w:t>
      </w:r>
      <w:r w:rsidRPr="004F3498">
        <w:rPr>
          <w:rFonts w:eastAsia="標楷體"/>
          <w:noProof w:val="0"/>
          <w:kern w:val="2"/>
          <w:sz w:val="32"/>
          <w:szCs w:val="32"/>
        </w:rPr>
        <w:t>2</w:t>
      </w:r>
      <w:r w:rsidRPr="004F3498">
        <w:rPr>
          <w:rFonts w:eastAsia="標楷體" w:hAnsi="標楷體"/>
          <w:noProof w:val="0"/>
          <w:kern w:val="2"/>
          <w:sz w:val="32"/>
          <w:szCs w:val="32"/>
        </w:rPr>
        <w:t>）依據現代式修繕工法，而外觀以地區傳統建築型式進行裝飾或改善之修繕。惟如採</w:t>
      </w:r>
      <w:r w:rsidRPr="004F3498">
        <w:rPr>
          <w:rFonts w:eastAsia="標楷體"/>
          <w:noProof w:val="0"/>
          <w:kern w:val="2"/>
          <w:sz w:val="32"/>
          <w:szCs w:val="32"/>
        </w:rPr>
        <w:t>RC</w:t>
      </w:r>
      <w:r w:rsidRPr="004F3498">
        <w:rPr>
          <w:rFonts w:eastAsia="標楷體" w:hAnsi="標楷體"/>
          <w:noProof w:val="0"/>
          <w:kern w:val="2"/>
          <w:sz w:val="32"/>
          <w:szCs w:val="32"/>
        </w:rPr>
        <w:t>混凝土或磚造牆面並以貼石裝飾者，僅得補助石牆部分，貼石材厚度不得小於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5"/>
          <w:attr w:name="UnitName" w:val="公分"/>
        </w:smartTagPr>
        <w:r w:rsidRPr="004F3498">
          <w:rPr>
            <w:rFonts w:eastAsia="標楷體"/>
            <w:noProof w:val="0"/>
            <w:kern w:val="2"/>
            <w:sz w:val="32"/>
            <w:szCs w:val="32"/>
          </w:rPr>
          <w:t>15</w:t>
        </w:r>
        <w:r w:rsidRPr="004F3498">
          <w:rPr>
            <w:rFonts w:eastAsia="標楷體" w:hAnsi="標楷體"/>
            <w:noProof w:val="0"/>
            <w:kern w:val="2"/>
            <w:sz w:val="32"/>
            <w:szCs w:val="32"/>
          </w:rPr>
          <w:t>公分</w:t>
        </w:r>
      </w:smartTag>
      <w:r w:rsidRPr="004F3498">
        <w:rPr>
          <w:rFonts w:eastAsia="標楷體" w:hAnsi="標楷體"/>
          <w:noProof w:val="0"/>
          <w:kern w:val="2"/>
          <w:sz w:val="32"/>
          <w:szCs w:val="32"/>
        </w:rPr>
        <w:t>。</w:t>
      </w:r>
      <w:r w:rsidRPr="004F3498">
        <w:rPr>
          <w:rFonts w:eastAsia="標楷體"/>
          <w:noProof w:val="0"/>
          <w:kern w:val="2"/>
          <w:sz w:val="32"/>
          <w:szCs w:val="32"/>
        </w:rPr>
        <w:t>RC</w:t>
      </w:r>
      <w:r w:rsidRPr="004F3498">
        <w:rPr>
          <w:rFonts w:eastAsia="標楷體" w:hAnsi="標楷體"/>
          <w:noProof w:val="0"/>
          <w:kern w:val="2"/>
          <w:sz w:val="32"/>
          <w:szCs w:val="32"/>
        </w:rPr>
        <w:t>混凝土或磚造牆面則不予補助。</w:t>
      </w:r>
    </w:p>
    <w:p w14:paraId="455009D9" w14:textId="77777777" w:rsidR="00A705ED" w:rsidRPr="004F3498" w:rsidRDefault="00A66502" w:rsidP="00E82F55">
      <w:pPr>
        <w:numPr>
          <w:ilvl w:val="0"/>
          <w:numId w:val="2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修繕補助費用之補助金額依本府丈量之實作數量計價，並依下列順序及金額，分級補助：</w:t>
      </w:r>
    </w:p>
    <w:p w14:paraId="2A96A71F" w14:textId="77777777" w:rsidR="00A66502" w:rsidRPr="004F3498" w:rsidRDefault="00A66502" w:rsidP="00E82F55">
      <w:pPr>
        <w:numPr>
          <w:ilvl w:val="0"/>
          <w:numId w:val="4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聚落保存區內之傳統建築採傳統式修繕者，修繕補助費用上限金額為新台幣一百八十萬元整。</w:t>
      </w:r>
    </w:p>
    <w:p w14:paraId="70960934" w14:textId="77777777" w:rsidR="00A66502" w:rsidRPr="004F3498" w:rsidRDefault="00A66502" w:rsidP="00E82F55">
      <w:pPr>
        <w:numPr>
          <w:ilvl w:val="0"/>
          <w:numId w:val="4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非聚落保存區內之傳統建築採傳統式修繕者，修繕補助費用以申請金額百分之四十為上限，</w:t>
      </w:r>
      <w:r w:rsidR="00A8401D" w:rsidRPr="004F3498">
        <w:rPr>
          <w:rFonts w:eastAsia="標楷體" w:hAnsi="標楷體"/>
          <w:sz w:val="32"/>
          <w:szCs w:val="32"/>
        </w:rPr>
        <w:t>惟補助金額不得逾新台幣七十二萬元整。</w:t>
      </w:r>
    </w:p>
    <w:p w14:paraId="46EC11E4" w14:textId="77777777" w:rsidR="00A8401D" w:rsidRPr="004F3498" w:rsidRDefault="00A8401D" w:rsidP="00E82F55">
      <w:pPr>
        <w:numPr>
          <w:ilvl w:val="0"/>
          <w:numId w:val="4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聚落保存區內採改良式修繕之建築，修繕補助費用上限金額為新台幣九十萬元整。</w:t>
      </w:r>
    </w:p>
    <w:p w14:paraId="6977375C" w14:textId="77777777" w:rsidR="00A8401D" w:rsidRPr="004F3498" w:rsidRDefault="00A8401D" w:rsidP="00E82F55">
      <w:pPr>
        <w:numPr>
          <w:ilvl w:val="0"/>
          <w:numId w:val="4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非聚落保存區內採改良式修繕之建築，修繕補助費用以申請金額百分之四十為上限，惟補助金額不得逾新台幣三十六</w:t>
      </w:r>
      <w:r w:rsidR="0028477F" w:rsidRPr="004F3498">
        <w:rPr>
          <w:rFonts w:eastAsia="標楷體" w:hAnsi="標楷體"/>
          <w:sz w:val="32"/>
          <w:szCs w:val="32"/>
        </w:rPr>
        <w:t>萬</w:t>
      </w:r>
      <w:r w:rsidRPr="004F3498">
        <w:rPr>
          <w:rFonts w:eastAsia="標楷體" w:hAnsi="標楷體"/>
          <w:sz w:val="32"/>
          <w:szCs w:val="32"/>
        </w:rPr>
        <w:t>元整。</w:t>
      </w:r>
    </w:p>
    <w:p w14:paraId="1D93B4F7" w14:textId="2236F7EF" w:rsidR="0070688A" w:rsidRPr="00AC2911" w:rsidRDefault="0070688A" w:rsidP="00E82F55">
      <w:pPr>
        <w:numPr>
          <w:ilvl w:val="0"/>
          <w:numId w:val="4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AC2911">
        <w:rPr>
          <w:rFonts w:eastAsia="標楷體" w:hAnsi="標楷體"/>
          <w:sz w:val="32"/>
          <w:szCs w:val="32"/>
        </w:rPr>
        <w:t>規劃設計相關費用最高補助</w:t>
      </w:r>
      <w:r w:rsidR="004901DC" w:rsidRPr="00AC2911">
        <w:rPr>
          <w:rFonts w:eastAsia="標楷體" w:hAnsi="標楷體" w:hint="eastAsia"/>
          <w:sz w:val="32"/>
          <w:szCs w:val="32"/>
        </w:rPr>
        <w:t>上限為</w:t>
      </w:r>
      <w:r w:rsidRPr="00AC2911">
        <w:rPr>
          <w:rFonts w:eastAsia="標楷體" w:hAnsi="標楷體"/>
          <w:sz w:val="32"/>
          <w:szCs w:val="32"/>
        </w:rPr>
        <w:t>新台幣十萬元，於</w:t>
      </w:r>
      <w:r w:rsidR="00F01E69" w:rsidRPr="00AC2911">
        <w:rPr>
          <w:rFonts w:eastAsia="標楷體" w:hAnsi="標楷體" w:hint="eastAsia"/>
          <w:sz w:val="32"/>
          <w:szCs w:val="32"/>
        </w:rPr>
        <w:t>規劃設計完成</w:t>
      </w:r>
      <w:r w:rsidRPr="00AC2911">
        <w:rPr>
          <w:rFonts w:eastAsia="標楷體" w:hAnsi="標楷體"/>
          <w:sz w:val="32"/>
          <w:szCs w:val="32"/>
        </w:rPr>
        <w:t>時檢附相關領據請領。</w:t>
      </w:r>
    </w:p>
    <w:p w14:paraId="46923AD3" w14:textId="77777777" w:rsidR="00A66502" w:rsidRPr="004F3498" w:rsidRDefault="00A66502" w:rsidP="00E82F55">
      <w:pPr>
        <w:numPr>
          <w:ilvl w:val="0"/>
          <w:numId w:val="2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AC2911">
        <w:rPr>
          <w:rFonts w:eastAsia="標楷體" w:hAnsi="標楷體"/>
          <w:sz w:val="32"/>
          <w:szCs w:val="32"/>
        </w:rPr>
        <w:t>本補助案件申請人不得重複向其他單位</w:t>
      </w:r>
      <w:r w:rsidRPr="004F3498">
        <w:rPr>
          <w:rFonts w:eastAsia="標楷體" w:hAnsi="標楷體"/>
          <w:sz w:val="32"/>
          <w:szCs w:val="32"/>
        </w:rPr>
        <w:t>申請經費補助，若已接受其他機關之補助者，不再予以補助。</w:t>
      </w:r>
    </w:p>
    <w:p w14:paraId="72E79B59" w14:textId="77777777" w:rsidR="00A705ED" w:rsidRPr="004F3498" w:rsidRDefault="00A705ED" w:rsidP="00E82F55">
      <w:pPr>
        <w:numPr>
          <w:ilvl w:val="0"/>
          <w:numId w:val="2"/>
        </w:numPr>
        <w:spacing w:beforeLines="100" w:before="36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申請時應依公告規定檢附相關證明文件，</w:t>
      </w:r>
      <w:r w:rsidR="00F2382A" w:rsidRPr="004F3498">
        <w:rPr>
          <w:rFonts w:eastAsia="標楷體" w:hAnsi="標楷體"/>
          <w:sz w:val="32"/>
          <w:szCs w:val="32"/>
        </w:rPr>
        <w:t>於</w:t>
      </w:r>
      <w:r w:rsidRPr="004F3498">
        <w:rPr>
          <w:rFonts w:eastAsia="標楷體" w:hAnsi="標楷體"/>
          <w:sz w:val="32"/>
          <w:szCs w:val="32"/>
        </w:rPr>
        <w:t>規定期限內</w:t>
      </w:r>
      <w:r w:rsidRPr="004F3498">
        <w:rPr>
          <w:rFonts w:eastAsia="標楷體" w:hAnsi="標楷體"/>
          <w:sz w:val="32"/>
          <w:szCs w:val="32"/>
        </w:rPr>
        <w:lastRenderedPageBreak/>
        <w:t>親自送達或掛號郵寄至本府</w:t>
      </w:r>
      <w:r w:rsidR="00881E9B" w:rsidRPr="004F3498">
        <w:rPr>
          <w:rFonts w:eastAsia="標楷體" w:hAnsi="標楷體"/>
          <w:sz w:val="32"/>
          <w:szCs w:val="32"/>
        </w:rPr>
        <w:t>文化</w:t>
      </w:r>
      <w:r w:rsidR="00446C97" w:rsidRPr="004F3498">
        <w:rPr>
          <w:rFonts w:eastAsia="標楷體" w:hAnsi="標楷體"/>
          <w:sz w:val="32"/>
          <w:szCs w:val="32"/>
        </w:rPr>
        <w:t>處</w:t>
      </w:r>
      <w:r w:rsidR="00881E9B" w:rsidRPr="004F3498">
        <w:rPr>
          <w:rFonts w:eastAsia="標楷體" w:hAnsi="標楷體"/>
          <w:sz w:val="32"/>
          <w:szCs w:val="32"/>
        </w:rPr>
        <w:t>：</w:t>
      </w:r>
      <w:r w:rsidR="00446C97" w:rsidRPr="004F3498">
        <w:rPr>
          <w:rFonts w:eastAsia="標楷體"/>
          <w:sz w:val="32"/>
          <w:szCs w:val="32"/>
        </w:rPr>
        <w:t>209</w:t>
      </w:r>
      <w:r w:rsidR="00881E9B" w:rsidRPr="004F3498">
        <w:rPr>
          <w:rFonts w:eastAsia="標楷體" w:hAnsi="標楷體"/>
          <w:sz w:val="32"/>
          <w:szCs w:val="32"/>
        </w:rPr>
        <w:t>連江縣南竿鄉</w:t>
      </w:r>
      <w:r w:rsidR="00CD1BD5" w:rsidRPr="004F3498">
        <w:rPr>
          <w:rFonts w:eastAsia="標楷體" w:hAnsi="標楷體"/>
          <w:sz w:val="32"/>
          <w:szCs w:val="32"/>
        </w:rPr>
        <w:t>清水村</w:t>
      </w:r>
      <w:r w:rsidR="00CD1BD5" w:rsidRPr="004F3498">
        <w:rPr>
          <w:rFonts w:eastAsia="標楷體"/>
          <w:sz w:val="32"/>
          <w:szCs w:val="32"/>
        </w:rPr>
        <w:t>136-1</w:t>
      </w:r>
      <w:r w:rsidR="00881E9B" w:rsidRPr="004F3498">
        <w:rPr>
          <w:rFonts w:eastAsia="標楷體" w:hAnsi="標楷體"/>
          <w:sz w:val="32"/>
          <w:szCs w:val="32"/>
        </w:rPr>
        <w:t>號</w:t>
      </w:r>
      <w:r w:rsidRPr="004F3498">
        <w:rPr>
          <w:rFonts w:eastAsia="標楷體" w:hAnsi="標楷體"/>
          <w:sz w:val="32"/>
          <w:szCs w:val="32"/>
        </w:rPr>
        <w:t>。</w:t>
      </w:r>
    </w:p>
    <w:p w14:paraId="3A3F9859" w14:textId="04FA55E8" w:rsidR="00A705ED" w:rsidRPr="004F3498" w:rsidRDefault="00A705ED" w:rsidP="00E82F55">
      <w:pPr>
        <w:numPr>
          <w:ilvl w:val="0"/>
          <w:numId w:val="2"/>
        </w:numPr>
        <w:spacing w:beforeLines="50" w:before="18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獲准同意補助申請戶，</w:t>
      </w:r>
      <w:r w:rsidR="00FB4F5C" w:rsidRPr="004F3498">
        <w:rPr>
          <w:rFonts w:eastAsia="標楷體" w:hAnsi="標楷體"/>
          <w:sz w:val="32"/>
          <w:szCs w:val="32"/>
        </w:rPr>
        <w:t>若涉及</w:t>
      </w:r>
      <w:r w:rsidR="001F707D" w:rsidRPr="004F3498">
        <w:rPr>
          <w:rFonts w:eastAsia="標楷體" w:hAnsi="標楷體"/>
          <w:sz w:val="32"/>
          <w:szCs w:val="32"/>
        </w:rPr>
        <w:t>法定</w:t>
      </w:r>
      <w:r w:rsidR="00FB4F5C" w:rsidRPr="004F3498">
        <w:rPr>
          <w:rFonts w:eastAsia="標楷體" w:hAnsi="標楷體"/>
          <w:sz w:val="32"/>
          <w:szCs w:val="32"/>
        </w:rPr>
        <w:t>建築行為</w:t>
      </w:r>
      <w:r w:rsidRPr="004F3498">
        <w:rPr>
          <w:rFonts w:eastAsia="標楷體" w:hAnsi="標楷體"/>
          <w:sz w:val="32"/>
          <w:szCs w:val="32"/>
        </w:rPr>
        <w:t>應</w:t>
      </w:r>
      <w:r w:rsidR="00FB4F5C" w:rsidRPr="004F3498">
        <w:rPr>
          <w:rFonts w:eastAsia="標楷體" w:hAnsi="標楷體"/>
          <w:sz w:val="32"/>
          <w:szCs w:val="32"/>
        </w:rPr>
        <w:t>依法</w:t>
      </w:r>
      <w:r w:rsidRPr="004F3498">
        <w:rPr>
          <w:rFonts w:eastAsia="標楷體" w:hAnsi="標楷體"/>
          <w:sz w:val="32"/>
          <w:szCs w:val="32"/>
        </w:rPr>
        <w:t>辦理建築管理申請，</w:t>
      </w:r>
      <w:r w:rsidR="001B555E" w:rsidRPr="004F3498">
        <w:rPr>
          <w:rFonts w:eastAsia="標楷體" w:hAnsi="標楷體"/>
          <w:sz w:val="32"/>
          <w:szCs w:val="32"/>
        </w:rPr>
        <w:t>並於</w:t>
      </w:r>
      <w:r w:rsidR="003B6459">
        <w:rPr>
          <w:rFonts w:eastAsia="標楷體" w:hint="eastAsia"/>
          <w:sz w:val="32"/>
          <w:szCs w:val="32"/>
        </w:rPr>
        <w:t>30</w:t>
      </w:r>
      <w:r w:rsidR="001B555E" w:rsidRPr="004F3498">
        <w:rPr>
          <w:rFonts w:eastAsia="標楷體" w:hAnsi="標楷體"/>
          <w:sz w:val="32"/>
          <w:szCs w:val="32"/>
        </w:rPr>
        <w:t>日內向本府建管單位提出建管申請，俟同意後</w:t>
      </w:r>
      <w:r w:rsidR="001B555E" w:rsidRPr="004F3498">
        <w:rPr>
          <w:rFonts w:eastAsia="標楷體"/>
          <w:sz w:val="32"/>
          <w:szCs w:val="32"/>
        </w:rPr>
        <w:t>7</w:t>
      </w:r>
      <w:r w:rsidR="001B555E" w:rsidRPr="004F3498">
        <w:rPr>
          <w:rFonts w:eastAsia="標楷體" w:hAnsi="標楷體"/>
          <w:sz w:val="32"/>
          <w:szCs w:val="32"/>
        </w:rPr>
        <w:t>日內檢附相關資料辦理簽訂合約事宜，</w:t>
      </w:r>
      <w:r w:rsidRPr="004F3498">
        <w:rPr>
          <w:rFonts w:eastAsia="標楷體" w:hAnsi="標楷體"/>
          <w:sz w:val="32"/>
          <w:szCs w:val="32"/>
        </w:rPr>
        <w:t>依建築法相關規定進行工程施作。</w:t>
      </w:r>
    </w:p>
    <w:p w14:paraId="34C46147" w14:textId="00EDC851" w:rsidR="00A705ED" w:rsidRPr="004F3498" w:rsidRDefault="00A705ED" w:rsidP="00E82F55">
      <w:pPr>
        <w:numPr>
          <w:ilvl w:val="0"/>
          <w:numId w:val="2"/>
        </w:numPr>
        <w:spacing w:beforeLines="50" w:before="180" w:afterLines="50" w:after="180" w:line="0" w:lineRule="atLeast"/>
        <w:jc w:val="both"/>
        <w:rPr>
          <w:rFonts w:eastAsia="標楷體"/>
          <w:sz w:val="32"/>
          <w:szCs w:val="32"/>
        </w:rPr>
      </w:pPr>
      <w:r w:rsidRPr="004F3498">
        <w:rPr>
          <w:rFonts w:eastAsia="標楷體" w:hAnsi="標楷體"/>
          <w:sz w:val="32"/>
          <w:szCs w:val="32"/>
        </w:rPr>
        <w:t>基於政府經費來源不易，並確保其他申請戶權益，申請人於接獲本府同意補助通知後，應於</w:t>
      </w:r>
      <w:r w:rsidR="00CC4E35" w:rsidRPr="004F3498">
        <w:rPr>
          <w:rFonts w:eastAsia="標楷體" w:hAnsi="標楷體"/>
          <w:sz w:val="32"/>
          <w:szCs w:val="32"/>
        </w:rPr>
        <w:t>於</w:t>
      </w:r>
      <w:r w:rsidR="006D61A3">
        <w:rPr>
          <w:rFonts w:eastAsia="標楷體" w:hint="eastAsia"/>
          <w:sz w:val="32"/>
          <w:szCs w:val="32"/>
        </w:rPr>
        <w:t>30</w:t>
      </w:r>
      <w:r w:rsidR="00CC4E35" w:rsidRPr="004F3498">
        <w:rPr>
          <w:rFonts w:eastAsia="標楷體" w:hAnsi="標楷體"/>
          <w:sz w:val="32"/>
          <w:szCs w:val="32"/>
        </w:rPr>
        <w:t>日內向本府建管單位提出建管申請，俟同意後</w:t>
      </w:r>
      <w:r w:rsidR="000E627D" w:rsidRPr="004F3498">
        <w:rPr>
          <w:rFonts w:eastAsia="標楷體"/>
          <w:sz w:val="32"/>
          <w:szCs w:val="32"/>
        </w:rPr>
        <w:t>7</w:t>
      </w:r>
      <w:r w:rsidR="00CC4E35" w:rsidRPr="004F3498">
        <w:rPr>
          <w:rFonts w:eastAsia="標楷體" w:hAnsi="標楷體"/>
          <w:sz w:val="32"/>
          <w:szCs w:val="32"/>
        </w:rPr>
        <w:t>日內檢附相關資料辦理簽訂合約事宜</w:t>
      </w:r>
      <w:r w:rsidRPr="004F3498">
        <w:rPr>
          <w:rFonts w:eastAsia="標楷體" w:hAnsi="標楷體"/>
          <w:sz w:val="32"/>
          <w:szCs w:val="32"/>
        </w:rPr>
        <w:t>，</w:t>
      </w:r>
      <w:r w:rsidR="00CC4E35" w:rsidRPr="004F3498">
        <w:rPr>
          <w:rFonts w:eastAsia="標楷體" w:hAnsi="標楷體"/>
          <w:sz w:val="32"/>
          <w:szCs w:val="32"/>
        </w:rPr>
        <w:t>並</w:t>
      </w:r>
      <w:r w:rsidRPr="004F3498">
        <w:rPr>
          <w:rFonts w:eastAsia="標楷體" w:hAnsi="標楷體"/>
          <w:sz w:val="32"/>
          <w:szCs w:val="32"/>
        </w:rPr>
        <w:t>繳納契約金額</w:t>
      </w:r>
      <w:r w:rsidRPr="004F3498">
        <w:rPr>
          <w:rFonts w:eastAsia="標楷體"/>
          <w:sz w:val="32"/>
          <w:szCs w:val="32"/>
        </w:rPr>
        <w:t>5%</w:t>
      </w:r>
      <w:r w:rsidRPr="004F3498">
        <w:rPr>
          <w:rFonts w:eastAsia="標楷體" w:hAnsi="標楷體"/>
          <w:sz w:val="32"/>
          <w:szCs w:val="32"/>
        </w:rPr>
        <w:t>之履約保證金。未於期限內完成簽約及繳交保證金者，取消補助資格，並由其它申請人依優先補助順序遞補。</w:t>
      </w:r>
    </w:p>
    <w:p w14:paraId="6CD4BD8D" w14:textId="77777777" w:rsidR="00A705ED" w:rsidRPr="004F3498" w:rsidRDefault="00A705ED" w:rsidP="00E82F55">
      <w:pPr>
        <w:pStyle w:val="InsideAddress"/>
        <w:numPr>
          <w:ilvl w:val="0"/>
          <w:numId w:val="2"/>
        </w:numPr>
        <w:spacing w:beforeLines="100" w:before="360" w:afterLines="50" w:after="180" w:line="400" w:lineRule="exact"/>
        <w:ind w:right="0"/>
        <w:jc w:val="both"/>
        <w:rPr>
          <w:rFonts w:eastAsia="標楷體"/>
          <w:noProof w:val="0"/>
          <w:kern w:val="2"/>
          <w:sz w:val="32"/>
          <w:szCs w:val="32"/>
        </w:rPr>
      </w:pPr>
      <w:r w:rsidRPr="004F3498">
        <w:rPr>
          <w:rFonts w:eastAsia="標楷體" w:hAnsi="標楷體"/>
          <w:noProof w:val="0"/>
          <w:kern w:val="2"/>
          <w:sz w:val="32"/>
          <w:szCs w:val="32"/>
        </w:rPr>
        <w:t>獲同意補助申請人應保證於契約規定之工期時間內完成，並依契約內容辦理工程施作。凡與原申請內容不符者，均需於事前檢附相關文件向本府申請變更，經審核同意後始能修改、變更。如工程施作內容自行變更，並含禁止補助修繕型式等重大情事，本府得解除合約，並逕予没收已繳納之履約保證金。</w:t>
      </w:r>
    </w:p>
    <w:p w14:paraId="3878C57B" w14:textId="77777777" w:rsidR="00A705ED" w:rsidRPr="004F3498" w:rsidRDefault="00A705ED" w:rsidP="00E82F55">
      <w:pPr>
        <w:pStyle w:val="InsideAddress"/>
        <w:numPr>
          <w:ilvl w:val="0"/>
          <w:numId w:val="2"/>
        </w:numPr>
        <w:spacing w:beforeLines="100" w:before="360" w:afterLines="50" w:after="180" w:line="400" w:lineRule="exact"/>
        <w:ind w:right="0"/>
        <w:jc w:val="both"/>
        <w:rPr>
          <w:rFonts w:eastAsia="標楷體"/>
          <w:noProof w:val="0"/>
          <w:kern w:val="2"/>
          <w:sz w:val="32"/>
          <w:szCs w:val="32"/>
        </w:rPr>
      </w:pPr>
      <w:r w:rsidRPr="004F3498">
        <w:rPr>
          <w:rFonts w:eastAsia="標楷體" w:hAnsi="標楷體"/>
          <w:noProof w:val="0"/>
          <w:kern w:val="2"/>
          <w:sz w:val="32"/>
          <w:szCs w:val="32"/>
        </w:rPr>
        <w:t>獲同意補助申請戶，應依建築法相關規定及本補助契約內容進行工程施作，另於施工前、中、後拍照存証，據以完工丈量計價。</w:t>
      </w:r>
    </w:p>
    <w:p w14:paraId="0C3CD1E2" w14:textId="77777777" w:rsidR="00A705ED" w:rsidRPr="004F3498" w:rsidRDefault="00A705ED" w:rsidP="00E82F55">
      <w:pPr>
        <w:pStyle w:val="InsideAddress"/>
        <w:numPr>
          <w:ilvl w:val="0"/>
          <w:numId w:val="2"/>
        </w:numPr>
        <w:spacing w:beforeLines="100" w:before="360" w:afterLines="50" w:after="180" w:line="400" w:lineRule="exact"/>
        <w:ind w:right="0"/>
        <w:jc w:val="both"/>
        <w:rPr>
          <w:rFonts w:eastAsia="標楷體"/>
          <w:noProof w:val="0"/>
          <w:kern w:val="2"/>
          <w:sz w:val="32"/>
          <w:szCs w:val="32"/>
        </w:rPr>
      </w:pPr>
      <w:r w:rsidRPr="004F3498">
        <w:rPr>
          <w:rFonts w:eastAsia="標楷體" w:hAnsi="標楷體"/>
          <w:noProof w:val="0"/>
          <w:kern w:val="2"/>
          <w:sz w:val="32"/>
          <w:szCs w:val="32"/>
        </w:rPr>
        <w:t>補助工程完工後，申請人應於</w:t>
      </w:r>
      <w:r w:rsidRPr="004F3498">
        <w:rPr>
          <w:rFonts w:eastAsia="標楷體"/>
          <w:noProof w:val="0"/>
          <w:kern w:val="2"/>
          <w:sz w:val="32"/>
          <w:szCs w:val="32"/>
        </w:rPr>
        <w:t>30</w:t>
      </w:r>
      <w:r w:rsidRPr="004F3498">
        <w:rPr>
          <w:rFonts w:eastAsia="標楷體" w:hAnsi="標楷體"/>
          <w:noProof w:val="0"/>
          <w:kern w:val="2"/>
          <w:sz w:val="32"/>
          <w:szCs w:val="32"/>
        </w:rPr>
        <w:t>日內檢附施工前、中、後照片，函文或採其它方式通知本府，本府並於收文後</w:t>
      </w:r>
      <w:r w:rsidRPr="004F3498">
        <w:rPr>
          <w:rFonts w:eastAsia="標楷體"/>
          <w:noProof w:val="0"/>
          <w:kern w:val="2"/>
          <w:sz w:val="32"/>
          <w:szCs w:val="32"/>
        </w:rPr>
        <w:t>30</w:t>
      </w:r>
      <w:r w:rsidRPr="004F3498">
        <w:rPr>
          <w:rFonts w:eastAsia="標楷體" w:hAnsi="標楷體"/>
          <w:noProof w:val="0"/>
          <w:kern w:val="2"/>
          <w:sz w:val="32"/>
          <w:szCs w:val="32"/>
        </w:rPr>
        <w:t>日內，派員與申請人進行現地確認並依實丈量計價。</w:t>
      </w:r>
    </w:p>
    <w:p w14:paraId="144C888C" w14:textId="77777777" w:rsidR="00A705ED" w:rsidRPr="003B6459" w:rsidRDefault="00D84642" w:rsidP="00E82F55">
      <w:pPr>
        <w:pStyle w:val="InsideAddress"/>
        <w:numPr>
          <w:ilvl w:val="0"/>
          <w:numId w:val="2"/>
        </w:numPr>
        <w:spacing w:beforeLines="100" w:before="360" w:afterLines="50" w:after="180" w:line="400" w:lineRule="exact"/>
        <w:ind w:right="0"/>
        <w:jc w:val="both"/>
        <w:rPr>
          <w:rFonts w:eastAsia="標楷體"/>
          <w:noProof w:val="0"/>
          <w:kern w:val="2"/>
          <w:sz w:val="32"/>
          <w:szCs w:val="32"/>
        </w:rPr>
      </w:pPr>
      <w:r w:rsidRPr="003B6459">
        <w:rPr>
          <w:rFonts w:eastAsia="標楷體" w:hAnsi="標楷體"/>
          <w:noProof w:val="0"/>
          <w:kern w:val="2"/>
          <w:sz w:val="32"/>
          <w:szCs w:val="32"/>
        </w:rPr>
        <w:t>經本府確認、丈量計價後，</w:t>
      </w:r>
      <w:r w:rsidR="00FB4F5C" w:rsidRPr="003B6459">
        <w:rPr>
          <w:rFonts w:eastAsia="標楷體" w:hAnsi="標楷體"/>
          <w:noProof w:val="0"/>
          <w:kern w:val="2"/>
          <w:sz w:val="32"/>
          <w:szCs w:val="32"/>
        </w:rPr>
        <w:t>不涉及</w:t>
      </w:r>
      <w:r w:rsidR="001F707D" w:rsidRPr="003B6459">
        <w:rPr>
          <w:rFonts w:eastAsia="標楷體" w:hAnsi="標楷體"/>
          <w:noProof w:val="0"/>
          <w:kern w:val="2"/>
          <w:sz w:val="32"/>
          <w:szCs w:val="32"/>
        </w:rPr>
        <w:t>法定</w:t>
      </w:r>
      <w:r w:rsidR="00FB4F5C" w:rsidRPr="003B6459">
        <w:rPr>
          <w:rFonts w:eastAsia="標楷體" w:hAnsi="標楷體"/>
          <w:noProof w:val="0"/>
          <w:kern w:val="2"/>
          <w:sz w:val="32"/>
          <w:szCs w:val="32"/>
        </w:rPr>
        <w:t>建築行為者</w:t>
      </w:r>
      <w:r w:rsidRPr="003B6459">
        <w:rPr>
          <w:rFonts w:eastAsia="標楷體" w:hAnsi="標楷體"/>
          <w:noProof w:val="0"/>
          <w:kern w:val="2"/>
          <w:sz w:val="32"/>
          <w:szCs w:val="32"/>
        </w:rPr>
        <w:t>申請人應檢附</w:t>
      </w:r>
      <w:r w:rsidR="00FB4F5C" w:rsidRPr="003B6459">
        <w:rPr>
          <w:rFonts w:eastAsia="標楷體" w:hAnsi="標楷體"/>
          <w:noProof w:val="0"/>
          <w:kern w:val="2"/>
          <w:sz w:val="32"/>
          <w:szCs w:val="32"/>
        </w:rPr>
        <w:t>施工前中後期照片及</w:t>
      </w:r>
      <w:r w:rsidR="002E7DE5" w:rsidRPr="003B6459">
        <w:rPr>
          <w:rFonts w:eastAsia="標楷體" w:hAnsi="標楷體"/>
          <w:noProof w:val="0"/>
          <w:kern w:val="2"/>
          <w:sz w:val="32"/>
          <w:szCs w:val="32"/>
        </w:rPr>
        <w:t>修繕原始支出憑證</w:t>
      </w:r>
      <w:r w:rsidR="00FB4F5C" w:rsidRPr="003B6459">
        <w:rPr>
          <w:rFonts w:eastAsia="標楷體" w:hAnsi="標楷體"/>
          <w:noProof w:val="0"/>
          <w:kern w:val="2"/>
          <w:sz w:val="32"/>
          <w:szCs w:val="32"/>
        </w:rPr>
        <w:t>，涉及</w:t>
      </w:r>
      <w:r w:rsidR="001F707D" w:rsidRPr="003B6459">
        <w:rPr>
          <w:rFonts w:eastAsia="標楷體" w:hAnsi="標楷體"/>
          <w:noProof w:val="0"/>
          <w:kern w:val="2"/>
          <w:sz w:val="32"/>
          <w:szCs w:val="32"/>
        </w:rPr>
        <w:t>法定</w:t>
      </w:r>
      <w:r w:rsidR="00FB4F5C" w:rsidRPr="003B6459">
        <w:rPr>
          <w:rFonts w:eastAsia="標楷體" w:hAnsi="標楷體"/>
          <w:noProof w:val="0"/>
          <w:kern w:val="2"/>
          <w:sz w:val="32"/>
          <w:szCs w:val="32"/>
        </w:rPr>
        <w:t>建築行為者檢附</w:t>
      </w:r>
      <w:r w:rsidRPr="003B6459">
        <w:rPr>
          <w:rFonts w:eastAsia="標楷體" w:hAnsi="標楷體"/>
          <w:noProof w:val="0"/>
          <w:kern w:val="2"/>
          <w:sz w:val="32"/>
          <w:szCs w:val="32"/>
        </w:rPr>
        <w:t>完工後</w:t>
      </w:r>
      <w:r w:rsidRPr="003B6459">
        <w:rPr>
          <w:rFonts w:eastAsia="標楷體" w:hAnsi="標楷體"/>
          <w:b/>
          <w:noProof w:val="0"/>
          <w:kern w:val="2"/>
          <w:sz w:val="32"/>
          <w:szCs w:val="32"/>
        </w:rPr>
        <w:t>使用</w:t>
      </w:r>
      <w:r w:rsidR="00A705ED" w:rsidRPr="003B6459">
        <w:rPr>
          <w:rFonts w:eastAsia="標楷體" w:hAnsi="標楷體"/>
          <w:b/>
          <w:noProof w:val="0"/>
          <w:kern w:val="2"/>
          <w:sz w:val="32"/>
          <w:szCs w:val="32"/>
        </w:rPr>
        <w:t>執照</w:t>
      </w:r>
      <w:r w:rsidR="005F245C" w:rsidRPr="003B6459">
        <w:rPr>
          <w:rFonts w:eastAsia="標楷體" w:hAnsi="標楷體"/>
          <w:b/>
          <w:noProof w:val="0"/>
          <w:kern w:val="2"/>
          <w:sz w:val="32"/>
          <w:szCs w:val="32"/>
        </w:rPr>
        <w:t>或工程合格證明書</w:t>
      </w:r>
      <w:r w:rsidR="00F9352F" w:rsidRPr="003B6459">
        <w:rPr>
          <w:rFonts w:eastAsia="標楷體" w:hAnsi="標楷體"/>
          <w:b/>
          <w:noProof w:val="0"/>
          <w:kern w:val="2"/>
          <w:sz w:val="32"/>
          <w:szCs w:val="32"/>
        </w:rPr>
        <w:t>及領據</w:t>
      </w:r>
      <w:r w:rsidR="00A705ED" w:rsidRPr="003B6459">
        <w:rPr>
          <w:rFonts w:eastAsia="標楷體" w:hAnsi="標楷體"/>
          <w:noProof w:val="0"/>
          <w:kern w:val="2"/>
          <w:sz w:val="32"/>
          <w:szCs w:val="32"/>
        </w:rPr>
        <w:t>向本府辦理補助經費核撥及結案</w:t>
      </w:r>
      <w:r w:rsidR="00C00259" w:rsidRPr="003B6459">
        <w:rPr>
          <w:rFonts w:eastAsia="標楷體"/>
          <w:noProof w:val="0"/>
          <w:kern w:val="2"/>
          <w:sz w:val="32"/>
          <w:szCs w:val="32"/>
        </w:rPr>
        <w:t>(</w:t>
      </w:r>
      <w:r w:rsidR="00C00259" w:rsidRPr="003B6459">
        <w:rPr>
          <w:rFonts w:eastAsia="標楷體" w:hAnsi="標楷體"/>
          <w:noProof w:val="0"/>
          <w:kern w:val="2"/>
          <w:sz w:val="32"/>
          <w:szCs w:val="32"/>
        </w:rPr>
        <w:t>以上</w:t>
      </w:r>
      <w:r w:rsidR="00C00259" w:rsidRPr="003B6459">
        <w:rPr>
          <w:rFonts w:eastAsia="標楷體" w:hAnsi="標楷體"/>
          <w:noProof w:val="0"/>
          <w:kern w:val="2"/>
          <w:sz w:val="32"/>
          <w:szCs w:val="32"/>
        </w:rPr>
        <w:lastRenderedPageBreak/>
        <w:t>詳附件八</w:t>
      </w:r>
      <w:r w:rsidR="00C00259" w:rsidRPr="003B6459">
        <w:rPr>
          <w:rFonts w:eastAsia="標楷體"/>
          <w:noProof w:val="0"/>
          <w:kern w:val="2"/>
          <w:sz w:val="32"/>
          <w:szCs w:val="32"/>
        </w:rPr>
        <w:t>)</w:t>
      </w:r>
      <w:r w:rsidR="005F245C" w:rsidRPr="003B6459">
        <w:rPr>
          <w:rFonts w:eastAsia="標楷體" w:hAnsi="標楷體"/>
          <w:noProof w:val="0"/>
          <w:kern w:val="2"/>
          <w:sz w:val="32"/>
          <w:szCs w:val="32"/>
        </w:rPr>
        <w:t>，未附使用執照或工程合格證明書者</w:t>
      </w:r>
      <w:r w:rsidRPr="003B6459">
        <w:rPr>
          <w:rFonts w:eastAsia="標楷體" w:hAnsi="標楷體"/>
          <w:noProof w:val="0"/>
          <w:kern w:val="2"/>
          <w:sz w:val="32"/>
          <w:szCs w:val="32"/>
        </w:rPr>
        <w:t>，本府</w:t>
      </w:r>
      <w:r w:rsidR="00CC4E35" w:rsidRPr="003B6459">
        <w:rPr>
          <w:rFonts w:eastAsia="標楷體" w:hAnsi="標楷體"/>
          <w:noProof w:val="0"/>
          <w:kern w:val="2"/>
          <w:sz w:val="32"/>
          <w:szCs w:val="32"/>
        </w:rPr>
        <w:t>即</w:t>
      </w:r>
      <w:r w:rsidRPr="003B6459">
        <w:rPr>
          <w:rFonts w:eastAsia="標楷體" w:hAnsi="標楷體"/>
          <w:noProof w:val="0"/>
          <w:kern w:val="2"/>
          <w:sz w:val="32"/>
          <w:szCs w:val="32"/>
        </w:rPr>
        <w:t>解除合約及依契約第六條規定辦理</w:t>
      </w:r>
      <w:r w:rsidR="00A705ED" w:rsidRPr="003B6459">
        <w:rPr>
          <w:rFonts w:eastAsia="標楷體" w:hAnsi="標楷體"/>
          <w:noProof w:val="0"/>
          <w:kern w:val="2"/>
          <w:sz w:val="32"/>
          <w:szCs w:val="32"/>
        </w:rPr>
        <w:t>。</w:t>
      </w:r>
    </w:p>
    <w:p w14:paraId="571F143C" w14:textId="77777777" w:rsidR="00A705ED" w:rsidRPr="004F3498" w:rsidRDefault="00A705ED" w:rsidP="00E82F55">
      <w:pPr>
        <w:pStyle w:val="InsideAddress"/>
        <w:numPr>
          <w:ilvl w:val="0"/>
          <w:numId w:val="2"/>
        </w:numPr>
        <w:spacing w:beforeLines="100" w:before="360" w:afterLines="50" w:after="180" w:line="400" w:lineRule="exact"/>
        <w:ind w:right="0"/>
        <w:jc w:val="both"/>
        <w:rPr>
          <w:rFonts w:eastAsia="標楷體"/>
          <w:noProof w:val="0"/>
          <w:kern w:val="2"/>
          <w:sz w:val="32"/>
          <w:szCs w:val="32"/>
        </w:rPr>
      </w:pPr>
      <w:r w:rsidRPr="004F3498">
        <w:rPr>
          <w:rFonts w:eastAsia="標楷體" w:hAnsi="標楷體"/>
          <w:noProof w:val="0"/>
          <w:kern w:val="2"/>
          <w:sz w:val="32"/>
          <w:szCs w:val="32"/>
        </w:rPr>
        <w:t>補助經費核撥後，非經本府同意，外觀不得任意改變，違反者，應繳回補助經費，申請人拒絕歸還獎勵補助經費者，本府得依法求償並移送強制執行。</w:t>
      </w:r>
    </w:p>
    <w:p w14:paraId="5E583689" w14:textId="77777777" w:rsidR="00A705ED" w:rsidRPr="004F3498" w:rsidRDefault="00A705ED" w:rsidP="00E82F55">
      <w:pPr>
        <w:pStyle w:val="InsideAddress"/>
        <w:numPr>
          <w:ilvl w:val="0"/>
          <w:numId w:val="2"/>
        </w:numPr>
        <w:spacing w:beforeLines="100" w:before="360" w:afterLines="50" w:after="180" w:line="400" w:lineRule="exact"/>
        <w:ind w:right="0"/>
        <w:jc w:val="both"/>
        <w:rPr>
          <w:rFonts w:eastAsia="標楷體"/>
          <w:noProof w:val="0"/>
          <w:kern w:val="2"/>
          <w:sz w:val="32"/>
          <w:szCs w:val="32"/>
        </w:rPr>
      </w:pPr>
      <w:bookmarkStart w:id="0" w:name="_Toc216113949"/>
      <w:r w:rsidRPr="004F3498">
        <w:rPr>
          <w:rFonts w:eastAsia="標楷體" w:hAnsi="標楷體"/>
          <w:noProof w:val="0"/>
          <w:kern w:val="2"/>
          <w:sz w:val="32"/>
          <w:szCs w:val="32"/>
        </w:rPr>
        <w:t>本須知未載明之事項，依本補助公告及其他相關法令規定辦理。</w:t>
      </w:r>
      <w:bookmarkEnd w:id="0"/>
    </w:p>
    <w:p w14:paraId="7930FF75" w14:textId="77777777" w:rsidR="00A705ED" w:rsidRPr="004F3498" w:rsidRDefault="00A705ED" w:rsidP="00C42B25"/>
    <w:sectPr w:rsidR="00A705ED" w:rsidRPr="004F3498" w:rsidSect="006457E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72842" w14:textId="77777777" w:rsidR="0030661B" w:rsidRDefault="0030661B" w:rsidP="00A66502">
      <w:r>
        <w:separator/>
      </w:r>
    </w:p>
  </w:endnote>
  <w:endnote w:type="continuationSeparator" w:id="0">
    <w:p w14:paraId="42B9BD56" w14:textId="77777777" w:rsidR="0030661B" w:rsidRDefault="0030661B" w:rsidP="00A66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6794967"/>
      <w:docPartObj>
        <w:docPartGallery w:val="Page Numbers (Bottom of Page)"/>
        <w:docPartUnique/>
      </w:docPartObj>
    </w:sdtPr>
    <w:sdtEndPr/>
    <w:sdtContent>
      <w:p w14:paraId="1E6FE224" w14:textId="77777777" w:rsidR="004F3498" w:rsidRDefault="00F31E3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2F55" w:rsidRPr="00E82F55">
          <w:rPr>
            <w:noProof/>
            <w:lang w:val="zh-TW"/>
          </w:rPr>
          <w:t>4</w:t>
        </w:r>
        <w:r>
          <w:rPr>
            <w:noProof/>
            <w:lang w:val="zh-TW"/>
          </w:rPr>
          <w:fldChar w:fldCharType="end"/>
        </w:r>
      </w:p>
    </w:sdtContent>
  </w:sdt>
  <w:p w14:paraId="4543309B" w14:textId="77777777" w:rsidR="004F3498" w:rsidRDefault="004F34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D0BC1" w14:textId="77777777" w:rsidR="0030661B" w:rsidRDefault="0030661B" w:rsidP="00A66502">
      <w:r>
        <w:separator/>
      </w:r>
    </w:p>
  </w:footnote>
  <w:footnote w:type="continuationSeparator" w:id="0">
    <w:p w14:paraId="4C855F6C" w14:textId="77777777" w:rsidR="0030661B" w:rsidRDefault="0030661B" w:rsidP="00A66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52673"/>
    <w:multiLevelType w:val="hybridMultilevel"/>
    <w:tmpl w:val="9468DAAA"/>
    <w:lvl w:ilvl="0" w:tplc="4962A89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0526422B"/>
    <w:multiLevelType w:val="hybridMultilevel"/>
    <w:tmpl w:val="DE12E39C"/>
    <w:lvl w:ilvl="0" w:tplc="6D304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6D5950EC"/>
    <w:multiLevelType w:val="hybridMultilevel"/>
    <w:tmpl w:val="4D6C79F4"/>
    <w:lvl w:ilvl="0" w:tplc="DC6A51CA">
      <w:start w:val="1"/>
      <w:numFmt w:val="taiwaneseCountingThousand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3" w15:restartNumberingAfterBreak="0">
    <w:nsid w:val="780F2B24"/>
    <w:multiLevelType w:val="hybridMultilevel"/>
    <w:tmpl w:val="7C12329E"/>
    <w:lvl w:ilvl="0" w:tplc="ACE8D2CC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  <w:b w:val="0"/>
        <w:sz w:val="32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5"/>
        </w:tabs>
        <w:ind w:left="1455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5"/>
        </w:tabs>
        <w:ind w:left="2895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5"/>
        </w:tabs>
        <w:ind w:left="3375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5"/>
        </w:tabs>
        <w:ind w:left="3855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5"/>
        </w:tabs>
        <w:ind w:left="4335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5"/>
        </w:tabs>
        <w:ind w:left="4815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F52"/>
    <w:rsid w:val="00021C70"/>
    <w:rsid w:val="000401A9"/>
    <w:rsid w:val="0005639B"/>
    <w:rsid w:val="000A7696"/>
    <w:rsid w:val="000E627D"/>
    <w:rsid w:val="0013297F"/>
    <w:rsid w:val="00194384"/>
    <w:rsid w:val="001A1E5F"/>
    <w:rsid w:val="001B555E"/>
    <w:rsid w:val="001E6638"/>
    <w:rsid w:val="001F707D"/>
    <w:rsid w:val="00235AB6"/>
    <w:rsid w:val="00237F52"/>
    <w:rsid w:val="0028477F"/>
    <w:rsid w:val="002B0957"/>
    <w:rsid w:val="002E7DE5"/>
    <w:rsid w:val="0030661B"/>
    <w:rsid w:val="003A69B6"/>
    <w:rsid w:val="003B6459"/>
    <w:rsid w:val="00437EF2"/>
    <w:rsid w:val="00443D0B"/>
    <w:rsid w:val="00446C97"/>
    <w:rsid w:val="004901DC"/>
    <w:rsid w:val="004F3498"/>
    <w:rsid w:val="00500458"/>
    <w:rsid w:val="00512A48"/>
    <w:rsid w:val="0058176A"/>
    <w:rsid w:val="005C1C79"/>
    <w:rsid w:val="005F245C"/>
    <w:rsid w:val="00643755"/>
    <w:rsid w:val="006457EB"/>
    <w:rsid w:val="006C36D1"/>
    <w:rsid w:val="006D61A3"/>
    <w:rsid w:val="006E3FE1"/>
    <w:rsid w:val="0070688A"/>
    <w:rsid w:val="007B6EFB"/>
    <w:rsid w:val="007D2B49"/>
    <w:rsid w:val="00881E9B"/>
    <w:rsid w:val="009615D7"/>
    <w:rsid w:val="009B3111"/>
    <w:rsid w:val="00A66502"/>
    <w:rsid w:val="00A705ED"/>
    <w:rsid w:val="00A8401D"/>
    <w:rsid w:val="00AC2911"/>
    <w:rsid w:val="00BA2828"/>
    <w:rsid w:val="00BC5865"/>
    <w:rsid w:val="00BD454E"/>
    <w:rsid w:val="00C00259"/>
    <w:rsid w:val="00C33127"/>
    <w:rsid w:val="00C42B25"/>
    <w:rsid w:val="00CA325F"/>
    <w:rsid w:val="00CC4E35"/>
    <w:rsid w:val="00CD1BD5"/>
    <w:rsid w:val="00D37EC2"/>
    <w:rsid w:val="00D84642"/>
    <w:rsid w:val="00DB510B"/>
    <w:rsid w:val="00DC5F38"/>
    <w:rsid w:val="00E01FE2"/>
    <w:rsid w:val="00E2789F"/>
    <w:rsid w:val="00E82F55"/>
    <w:rsid w:val="00E837C4"/>
    <w:rsid w:val="00EC704A"/>
    <w:rsid w:val="00F01E69"/>
    <w:rsid w:val="00F2382A"/>
    <w:rsid w:val="00F31E35"/>
    <w:rsid w:val="00F41FF5"/>
    <w:rsid w:val="00F9352F"/>
    <w:rsid w:val="00FB4F5C"/>
    <w:rsid w:val="00FD08A6"/>
    <w:rsid w:val="00FD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71F1D708"/>
  <w15:docId w15:val="{FC38D248-D9C6-4857-BC5D-9C72A1106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57EB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nsideAddress">
    <w:name w:val="Inside Address"/>
    <w:basedOn w:val="a"/>
    <w:rsid w:val="00A705ED"/>
    <w:pPr>
      <w:widowControl/>
      <w:ind w:left="835" w:right="-360"/>
    </w:pPr>
    <w:rPr>
      <w:noProof/>
      <w:kern w:val="0"/>
      <w:sz w:val="20"/>
      <w:szCs w:val="20"/>
    </w:rPr>
  </w:style>
  <w:style w:type="table" w:styleId="a3">
    <w:name w:val="Table Grid"/>
    <w:basedOn w:val="a1"/>
    <w:rsid w:val="0064375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C00259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A665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A66502"/>
    <w:rPr>
      <w:kern w:val="2"/>
    </w:rPr>
  </w:style>
  <w:style w:type="paragraph" w:styleId="a7">
    <w:name w:val="footer"/>
    <w:basedOn w:val="a"/>
    <w:link w:val="a8"/>
    <w:uiPriority w:val="99"/>
    <w:rsid w:val="00A665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66502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251</Words>
  <Characters>1431</Characters>
  <Application>Microsoft Office Word</Application>
  <DocSecurity>0</DocSecurity>
  <Lines>11</Lines>
  <Paragraphs>3</Paragraphs>
  <ScaleCrop>false</ScaleCrop>
  <Company>HOME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申請須知</dc:title>
  <dc:creator>user</dc:creator>
  <cp:lastModifiedBy>cc matsu</cp:lastModifiedBy>
  <cp:revision>14</cp:revision>
  <cp:lastPrinted>2018-09-19T01:25:00Z</cp:lastPrinted>
  <dcterms:created xsi:type="dcterms:W3CDTF">2014-01-10T06:20:00Z</dcterms:created>
  <dcterms:modified xsi:type="dcterms:W3CDTF">2021-02-08T08:28:00Z</dcterms:modified>
</cp:coreProperties>
</file>